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71D" w:rsidRPr="001B1E6B" w:rsidRDefault="00794B9B" w:rsidP="001B1E6B">
      <w:pPr>
        <w:jc w:val="center"/>
        <w:rPr>
          <w:b/>
          <w:sz w:val="32"/>
          <w:szCs w:val="32"/>
        </w:rPr>
      </w:pPr>
      <w:r>
        <w:rPr>
          <w:b/>
          <w:sz w:val="32"/>
          <w:szCs w:val="32"/>
        </w:rPr>
        <w:t xml:space="preserve">Ceny obědů od </w:t>
      </w:r>
      <w:proofErr w:type="gramStart"/>
      <w:r>
        <w:rPr>
          <w:b/>
          <w:sz w:val="32"/>
          <w:szCs w:val="32"/>
        </w:rPr>
        <w:t>1.1.2025</w:t>
      </w:r>
      <w:proofErr w:type="gramEnd"/>
    </w:p>
    <w:tbl>
      <w:tblPr>
        <w:tblStyle w:val="Mkatabulky"/>
        <w:tblW w:w="0" w:type="auto"/>
        <w:tblLook w:val="04A0" w:firstRow="1" w:lastRow="0" w:firstColumn="1" w:lastColumn="0" w:noHBand="0" w:noVBand="1"/>
      </w:tblPr>
      <w:tblGrid>
        <w:gridCol w:w="2265"/>
        <w:gridCol w:w="2265"/>
        <w:gridCol w:w="2266"/>
        <w:gridCol w:w="2266"/>
      </w:tblGrid>
      <w:tr w:rsidR="005D271D" w:rsidRPr="005D271D" w:rsidTr="005D271D">
        <w:tc>
          <w:tcPr>
            <w:tcW w:w="2265" w:type="dxa"/>
          </w:tcPr>
          <w:p w:rsidR="005D271D" w:rsidRPr="005D271D" w:rsidRDefault="005D271D">
            <w:pPr>
              <w:rPr>
                <w:b/>
                <w:sz w:val="24"/>
                <w:szCs w:val="24"/>
              </w:rPr>
            </w:pPr>
            <w:r w:rsidRPr="005D271D">
              <w:rPr>
                <w:b/>
                <w:sz w:val="24"/>
                <w:szCs w:val="24"/>
              </w:rPr>
              <w:t>Věková kategorie</w:t>
            </w:r>
          </w:p>
        </w:tc>
        <w:tc>
          <w:tcPr>
            <w:tcW w:w="2265" w:type="dxa"/>
          </w:tcPr>
          <w:p w:rsidR="005D271D" w:rsidRPr="005D271D" w:rsidRDefault="005D271D">
            <w:pPr>
              <w:rPr>
                <w:b/>
                <w:sz w:val="24"/>
                <w:szCs w:val="24"/>
              </w:rPr>
            </w:pPr>
            <w:r w:rsidRPr="005D271D">
              <w:rPr>
                <w:b/>
                <w:sz w:val="24"/>
                <w:szCs w:val="24"/>
              </w:rPr>
              <w:t>Cena oběda</w:t>
            </w:r>
          </w:p>
        </w:tc>
        <w:tc>
          <w:tcPr>
            <w:tcW w:w="2266" w:type="dxa"/>
          </w:tcPr>
          <w:p w:rsidR="005D271D" w:rsidRPr="005D271D" w:rsidRDefault="005D271D">
            <w:pPr>
              <w:rPr>
                <w:b/>
                <w:sz w:val="24"/>
                <w:szCs w:val="24"/>
              </w:rPr>
            </w:pPr>
            <w:r w:rsidRPr="005D271D">
              <w:rPr>
                <w:b/>
                <w:sz w:val="24"/>
                <w:szCs w:val="24"/>
              </w:rPr>
              <w:t>Cena včetně nákladů</w:t>
            </w:r>
          </w:p>
        </w:tc>
        <w:tc>
          <w:tcPr>
            <w:tcW w:w="2266" w:type="dxa"/>
          </w:tcPr>
          <w:p w:rsidR="005D271D" w:rsidRPr="005D271D" w:rsidRDefault="005D271D">
            <w:pPr>
              <w:rPr>
                <w:b/>
                <w:sz w:val="24"/>
                <w:szCs w:val="24"/>
              </w:rPr>
            </w:pPr>
            <w:r w:rsidRPr="005D271D">
              <w:rPr>
                <w:b/>
                <w:sz w:val="24"/>
                <w:szCs w:val="24"/>
              </w:rPr>
              <w:t>Předpis měsíčně</w:t>
            </w:r>
          </w:p>
        </w:tc>
      </w:tr>
      <w:tr w:rsidR="005D271D" w:rsidRPr="005D271D" w:rsidTr="005D271D">
        <w:tc>
          <w:tcPr>
            <w:tcW w:w="2265" w:type="dxa"/>
          </w:tcPr>
          <w:p w:rsidR="005D271D" w:rsidRPr="005D271D" w:rsidRDefault="005D271D">
            <w:pPr>
              <w:rPr>
                <w:sz w:val="24"/>
                <w:szCs w:val="24"/>
              </w:rPr>
            </w:pPr>
            <w:r w:rsidRPr="005D271D">
              <w:rPr>
                <w:sz w:val="24"/>
                <w:szCs w:val="24"/>
              </w:rPr>
              <w:t>7-10 let</w:t>
            </w:r>
          </w:p>
        </w:tc>
        <w:tc>
          <w:tcPr>
            <w:tcW w:w="2265" w:type="dxa"/>
          </w:tcPr>
          <w:p w:rsidR="005D271D" w:rsidRPr="005D271D" w:rsidRDefault="001B1E6B" w:rsidP="005D271D">
            <w:pPr>
              <w:jc w:val="center"/>
              <w:rPr>
                <w:sz w:val="24"/>
                <w:szCs w:val="24"/>
              </w:rPr>
            </w:pPr>
            <w:r>
              <w:rPr>
                <w:sz w:val="24"/>
                <w:szCs w:val="24"/>
              </w:rPr>
              <w:t>35</w:t>
            </w:r>
            <w:r w:rsidR="005D271D" w:rsidRPr="005D271D">
              <w:rPr>
                <w:sz w:val="24"/>
                <w:szCs w:val="24"/>
              </w:rPr>
              <w:t>,-</w:t>
            </w:r>
          </w:p>
        </w:tc>
        <w:tc>
          <w:tcPr>
            <w:tcW w:w="2266" w:type="dxa"/>
          </w:tcPr>
          <w:p w:rsidR="005D271D" w:rsidRPr="005D271D" w:rsidRDefault="001B1E6B" w:rsidP="005D271D">
            <w:pPr>
              <w:jc w:val="center"/>
              <w:rPr>
                <w:sz w:val="24"/>
                <w:szCs w:val="24"/>
              </w:rPr>
            </w:pPr>
            <w:r>
              <w:rPr>
                <w:sz w:val="24"/>
                <w:szCs w:val="24"/>
              </w:rPr>
              <w:t>87</w:t>
            </w:r>
            <w:r w:rsidR="005D271D" w:rsidRPr="005D271D">
              <w:rPr>
                <w:sz w:val="24"/>
                <w:szCs w:val="24"/>
              </w:rPr>
              <w:t>,-</w:t>
            </w:r>
          </w:p>
        </w:tc>
        <w:tc>
          <w:tcPr>
            <w:tcW w:w="2266" w:type="dxa"/>
          </w:tcPr>
          <w:p w:rsidR="005D271D" w:rsidRPr="005D271D" w:rsidRDefault="001B1E6B" w:rsidP="005D271D">
            <w:pPr>
              <w:jc w:val="center"/>
              <w:rPr>
                <w:sz w:val="24"/>
                <w:szCs w:val="24"/>
              </w:rPr>
            </w:pPr>
            <w:r>
              <w:rPr>
                <w:sz w:val="24"/>
                <w:szCs w:val="24"/>
              </w:rPr>
              <w:t>700</w:t>
            </w:r>
            <w:r w:rsidR="005D271D" w:rsidRPr="005D271D">
              <w:rPr>
                <w:sz w:val="24"/>
                <w:szCs w:val="24"/>
              </w:rPr>
              <w:t>,-</w:t>
            </w:r>
          </w:p>
        </w:tc>
      </w:tr>
      <w:tr w:rsidR="005D271D" w:rsidRPr="005D271D" w:rsidTr="005D271D">
        <w:tc>
          <w:tcPr>
            <w:tcW w:w="2265" w:type="dxa"/>
          </w:tcPr>
          <w:p w:rsidR="005D271D" w:rsidRPr="005D271D" w:rsidRDefault="005D271D">
            <w:pPr>
              <w:rPr>
                <w:sz w:val="24"/>
                <w:szCs w:val="24"/>
              </w:rPr>
            </w:pPr>
            <w:r w:rsidRPr="005D271D">
              <w:rPr>
                <w:sz w:val="24"/>
                <w:szCs w:val="24"/>
              </w:rPr>
              <w:t>11-14 let</w:t>
            </w:r>
          </w:p>
        </w:tc>
        <w:tc>
          <w:tcPr>
            <w:tcW w:w="2265" w:type="dxa"/>
          </w:tcPr>
          <w:p w:rsidR="005D271D" w:rsidRPr="005D271D" w:rsidRDefault="001B1E6B" w:rsidP="005D271D">
            <w:pPr>
              <w:jc w:val="center"/>
              <w:rPr>
                <w:sz w:val="24"/>
                <w:szCs w:val="24"/>
              </w:rPr>
            </w:pPr>
            <w:r>
              <w:rPr>
                <w:sz w:val="24"/>
                <w:szCs w:val="24"/>
              </w:rPr>
              <w:t>38</w:t>
            </w:r>
            <w:r w:rsidR="005D271D" w:rsidRPr="005D271D">
              <w:rPr>
                <w:sz w:val="24"/>
                <w:szCs w:val="24"/>
              </w:rPr>
              <w:t>,-</w:t>
            </w:r>
          </w:p>
        </w:tc>
        <w:tc>
          <w:tcPr>
            <w:tcW w:w="2266" w:type="dxa"/>
          </w:tcPr>
          <w:p w:rsidR="005D271D" w:rsidRPr="005D271D" w:rsidRDefault="001B1E6B" w:rsidP="005D271D">
            <w:pPr>
              <w:jc w:val="center"/>
              <w:rPr>
                <w:sz w:val="24"/>
                <w:szCs w:val="24"/>
              </w:rPr>
            </w:pPr>
            <w:r>
              <w:rPr>
                <w:sz w:val="24"/>
                <w:szCs w:val="24"/>
              </w:rPr>
              <w:t>90</w:t>
            </w:r>
            <w:r w:rsidR="005D271D" w:rsidRPr="005D271D">
              <w:rPr>
                <w:sz w:val="24"/>
                <w:szCs w:val="24"/>
              </w:rPr>
              <w:t>,-</w:t>
            </w:r>
          </w:p>
        </w:tc>
        <w:tc>
          <w:tcPr>
            <w:tcW w:w="2266" w:type="dxa"/>
          </w:tcPr>
          <w:p w:rsidR="005D271D" w:rsidRPr="005D271D" w:rsidRDefault="001B1E6B" w:rsidP="005D271D">
            <w:pPr>
              <w:jc w:val="center"/>
              <w:rPr>
                <w:sz w:val="24"/>
                <w:szCs w:val="24"/>
              </w:rPr>
            </w:pPr>
            <w:r>
              <w:rPr>
                <w:sz w:val="24"/>
                <w:szCs w:val="24"/>
              </w:rPr>
              <w:t>760</w:t>
            </w:r>
            <w:r w:rsidR="005D271D" w:rsidRPr="005D271D">
              <w:rPr>
                <w:sz w:val="24"/>
                <w:szCs w:val="24"/>
              </w:rPr>
              <w:t>,-</w:t>
            </w:r>
          </w:p>
        </w:tc>
      </w:tr>
      <w:tr w:rsidR="005D271D" w:rsidRPr="005D271D" w:rsidTr="005D271D">
        <w:tc>
          <w:tcPr>
            <w:tcW w:w="2265" w:type="dxa"/>
          </w:tcPr>
          <w:p w:rsidR="005D271D" w:rsidRPr="005D271D" w:rsidRDefault="005D271D">
            <w:pPr>
              <w:rPr>
                <w:sz w:val="24"/>
                <w:szCs w:val="24"/>
              </w:rPr>
            </w:pPr>
            <w:r w:rsidRPr="005D271D">
              <w:rPr>
                <w:sz w:val="24"/>
                <w:szCs w:val="24"/>
              </w:rPr>
              <w:t>15+</w:t>
            </w:r>
          </w:p>
        </w:tc>
        <w:tc>
          <w:tcPr>
            <w:tcW w:w="2265" w:type="dxa"/>
          </w:tcPr>
          <w:p w:rsidR="005D271D" w:rsidRPr="005D271D" w:rsidRDefault="001B1E6B" w:rsidP="005D271D">
            <w:pPr>
              <w:jc w:val="center"/>
              <w:rPr>
                <w:sz w:val="24"/>
                <w:szCs w:val="24"/>
              </w:rPr>
            </w:pPr>
            <w:r>
              <w:rPr>
                <w:sz w:val="24"/>
                <w:szCs w:val="24"/>
              </w:rPr>
              <w:t>41</w:t>
            </w:r>
            <w:r w:rsidR="005D271D" w:rsidRPr="005D271D">
              <w:rPr>
                <w:sz w:val="24"/>
                <w:szCs w:val="24"/>
              </w:rPr>
              <w:t>,-</w:t>
            </w:r>
          </w:p>
        </w:tc>
        <w:tc>
          <w:tcPr>
            <w:tcW w:w="2266" w:type="dxa"/>
          </w:tcPr>
          <w:p w:rsidR="005D271D" w:rsidRPr="005D271D" w:rsidRDefault="001B1E6B" w:rsidP="005D271D">
            <w:pPr>
              <w:jc w:val="center"/>
              <w:rPr>
                <w:sz w:val="24"/>
                <w:szCs w:val="24"/>
              </w:rPr>
            </w:pPr>
            <w:r>
              <w:rPr>
                <w:sz w:val="24"/>
                <w:szCs w:val="24"/>
              </w:rPr>
              <w:t>93</w:t>
            </w:r>
            <w:r w:rsidR="005D271D" w:rsidRPr="005D271D">
              <w:rPr>
                <w:sz w:val="24"/>
                <w:szCs w:val="24"/>
              </w:rPr>
              <w:t>,-</w:t>
            </w:r>
          </w:p>
        </w:tc>
        <w:tc>
          <w:tcPr>
            <w:tcW w:w="2266" w:type="dxa"/>
          </w:tcPr>
          <w:p w:rsidR="005D271D" w:rsidRPr="005D271D" w:rsidRDefault="001B1E6B" w:rsidP="005D271D">
            <w:pPr>
              <w:jc w:val="center"/>
              <w:rPr>
                <w:sz w:val="24"/>
                <w:szCs w:val="24"/>
              </w:rPr>
            </w:pPr>
            <w:r>
              <w:rPr>
                <w:sz w:val="24"/>
                <w:szCs w:val="24"/>
              </w:rPr>
              <w:t>820</w:t>
            </w:r>
            <w:r w:rsidR="005D271D" w:rsidRPr="005D271D">
              <w:rPr>
                <w:sz w:val="24"/>
                <w:szCs w:val="24"/>
              </w:rPr>
              <w:t>,-</w:t>
            </w:r>
          </w:p>
        </w:tc>
      </w:tr>
      <w:tr w:rsidR="005D271D" w:rsidRPr="005D271D" w:rsidTr="005D271D">
        <w:tc>
          <w:tcPr>
            <w:tcW w:w="2265" w:type="dxa"/>
          </w:tcPr>
          <w:p w:rsidR="005D271D" w:rsidRPr="005D271D" w:rsidRDefault="005D271D">
            <w:pPr>
              <w:rPr>
                <w:sz w:val="24"/>
                <w:szCs w:val="24"/>
              </w:rPr>
            </w:pPr>
            <w:r w:rsidRPr="005D271D">
              <w:rPr>
                <w:sz w:val="24"/>
                <w:szCs w:val="24"/>
              </w:rPr>
              <w:t>Zaměstnanci</w:t>
            </w:r>
          </w:p>
        </w:tc>
        <w:tc>
          <w:tcPr>
            <w:tcW w:w="2265" w:type="dxa"/>
          </w:tcPr>
          <w:p w:rsidR="005D271D" w:rsidRPr="005D271D" w:rsidRDefault="001B1E6B" w:rsidP="00CC3EAB">
            <w:pPr>
              <w:jc w:val="center"/>
              <w:rPr>
                <w:sz w:val="24"/>
                <w:szCs w:val="24"/>
              </w:rPr>
            </w:pPr>
            <w:r>
              <w:rPr>
                <w:sz w:val="24"/>
                <w:szCs w:val="24"/>
              </w:rPr>
              <w:t>41</w:t>
            </w:r>
            <w:r w:rsidR="005D271D" w:rsidRPr="005D271D">
              <w:rPr>
                <w:sz w:val="24"/>
                <w:szCs w:val="24"/>
              </w:rPr>
              <w:t xml:space="preserve">,- </w:t>
            </w:r>
            <w:r w:rsidR="000E358C">
              <w:rPr>
                <w:sz w:val="24"/>
                <w:szCs w:val="24"/>
              </w:rPr>
              <w:t>(27,-+14,-FKSP)</w:t>
            </w:r>
          </w:p>
        </w:tc>
        <w:tc>
          <w:tcPr>
            <w:tcW w:w="2266" w:type="dxa"/>
          </w:tcPr>
          <w:p w:rsidR="005D271D" w:rsidRPr="005D271D" w:rsidRDefault="001B1E6B" w:rsidP="005D271D">
            <w:pPr>
              <w:jc w:val="center"/>
              <w:rPr>
                <w:sz w:val="24"/>
                <w:szCs w:val="24"/>
              </w:rPr>
            </w:pPr>
            <w:r>
              <w:rPr>
                <w:sz w:val="24"/>
                <w:szCs w:val="24"/>
              </w:rPr>
              <w:t>93</w:t>
            </w:r>
            <w:r w:rsidR="005D271D" w:rsidRPr="005D271D">
              <w:rPr>
                <w:sz w:val="24"/>
                <w:szCs w:val="24"/>
              </w:rPr>
              <w:t>,-</w:t>
            </w:r>
          </w:p>
        </w:tc>
        <w:tc>
          <w:tcPr>
            <w:tcW w:w="2266" w:type="dxa"/>
          </w:tcPr>
          <w:p w:rsidR="005D271D" w:rsidRPr="005D271D" w:rsidRDefault="000E358C" w:rsidP="005D271D">
            <w:pPr>
              <w:jc w:val="center"/>
              <w:rPr>
                <w:sz w:val="24"/>
                <w:szCs w:val="24"/>
              </w:rPr>
            </w:pPr>
            <w:r>
              <w:rPr>
                <w:sz w:val="24"/>
                <w:szCs w:val="24"/>
              </w:rPr>
              <w:t>54</w:t>
            </w:r>
            <w:r w:rsidR="001B1E6B">
              <w:rPr>
                <w:sz w:val="24"/>
                <w:szCs w:val="24"/>
              </w:rPr>
              <w:t>0</w:t>
            </w:r>
            <w:r w:rsidR="005D271D" w:rsidRPr="005D271D">
              <w:rPr>
                <w:sz w:val="24"/>
                <w:szCs w:val="24"/>
              </w:rPr>
              <w:t>,-</w:t>
            </w:r>
          </w:p>
        </w:tc>
      </w:tr>
      <w:tr w:rsidR="005D271D" w:rsidRPr="005D271D" w:rsidTr="005D271D">
        <w:tc>
          <w:tcPr>
            <w:tcW w:w="2265" w:type="dxa"/>
          </w:tcPr>
          <w:p w:rsidR="005D271D" w:rsidRPr="005D271D" w:rsidRDefault="005D271D">
            <w:pPr>
              <w:rPr>
                <w:sz w:val="24"/>
                <w:szCs w:val="24"/>
              </w:rPr>
            </w:pPr>
            <w:r w:rsidRPr="005D271D">
              <w:rPr>
                <w:sz w:val="24"/>
                <w:szCs w:val="24"/>
              </w:rPr>
              <w:t>Školští důchodci</w:t>
            </w:r>
          </w:p>
        </w:tc>
        <w:tc>
          <w:tcPr>
            <w:tcW w:w="2265" w:type="dxa"/>
          </w:tcPr>
          <w:p w:rsidR="005D271D" w:rsidRPr="005D271D" w:rsidRDefault="000E358C" w:rsidP="00CC3EAB">
            <w:pPr>
              <w:jc w:val="center"/>
              <w:rPr>
                <w:sz w:val="24"/>
                <w:szCs w:val="24"/>
              </w:rPr>
            </w:pPr>
            <w:r>
              <w:rPr>
                <w:sz w:val="24"/>
                <w:szCs w:val="24"/>
              </w:rPr>
              <w:t>41</w:t>
            </w:r>
            <w:r w:rsidR="005D271D" w:rsidRPr="005D271D">
              <w:rPr>
                <w:sz w:val="24"/>
                <w:szCs w:val="24"/>
              </w:rPr>
              <w:t xml:space="preserve">,- </w:t>
            </w:r>
            <w:r>
              <w:rPr>
                <w:sz w:val="24"/>
                <w:szCs w:val="24"/>
              </w:rPr>
              <w:t>(27,-+ 14FKSP)</w:t>
            </w:r>
          </w:p>
        </w:tc>
        <w:tc>
          <w:tcPr>
            <w:tcW w:w="2266" w:type="dxa"/>
          </w:tcPr>
          <w:p w:rsidR="005D271D" w:rsidRPr="005D271D" w:rsidRDefault="005D271D" w:rsidP="005D271D">
            <w:pPr>
              <w:jc w:val="center"/>
              <w:rPr>
                <w:sz w:val="24"/>
                <w:szCs w:val="24"/>
              </w:rPr>
            </w:pPr>
            <w:r w:rsidRPr="005D271D">
              <w:rPr>
                <w:sz w:val="24"/>
                <w:szCs w:val="24"/>
              </w:rPr>
              <w:t>-</w:t>
            </w:r>
          </w:p>
        </w:tc>
        <w:tc>
          <w:tcPr>
            <w:tcW w:w="2266" w:type="dxa"/>
          </w:tcPr>
          <w:p w:rsidR="005D271D" w:rsidRPr="005D271D" w:rsidRDefault="000E358C" w:rsidP="005D271D">
            <w:pPr>
              <w:jc w:val="center"/>
              <w:rPr>
                <w:sz w:val="24"/>
                <w:szCs w:val="24"/>
              </w:rPr>
            </w:pPr>
            <w:r>
              <w:rPr>
                <w:sz w:val="24"/>
                <w:szCs w:val="24"/>
              </w:rPr>
              <w:t>54</w:t>
            </w:r>
            <w:bookmarkStart w:id="0" w:name="_GoBack"/>
            <w:bookmarkEnd w:id="0"/>
            <w:r w:rsidR="001B1E6B">
              <w:rPr>
                <w:sz w:val="24"/>
                <w:szCs w:val="24"/>
              </w:rPr>
              <w:t>0</w:t>
            </w:r>
            <w:r w:rsidR="005D271D" w:rsidRPr="005D271D">
              <w:rPr>
                <w:sz w:val="24"/>
                <w:szCs w:val="24"/>
              </w:rPr>
              <w:t>,-</w:t>
            </w:r>
          </w:p>
        </w:tc>
      </w:tr>
      <w:tr w:rsidR="005D271D" w:rsidRPr="005D271D" w:rsidTr="005D271D">
        <w:tc>
          <w:tcPr>
            <w:tcW w:w="2265" w:type="dxa"/>
          </w:tcPr>
          <w:p w:rsidR="005D271D" w:rsidRPr="005D271D" w:rsidRDefault="005D271D">
            <w:pPr>
              <w:rPr>
                <w:sz w:val="24"/>
                <w:szCs w:val="24"/>
              </w:rPr>
            </w:pPr>
            <w:r w:rsidRPr="005D271D">
              <w:rPr>
                <w:sz w:val="24"/>
                <w:szCs w:val="24"/>
              </w:rPr>
              <w:t>Cizí strávníci</w:t>
            </w:r>
          </w:p>
        </w:tc>
        <w:tc>
          <w:tcPr>
            <w:tcW w:w="2265" w:type="dxa"/>
          </w:tcPr>
          <w:p w:rsidR="005D271D" w:rsidRPr="005D271D" w:rsidRDefault="001B1E6B" w:rsidP="005D271D">
            <w:pPr>
              <w:jc w:val="center"/>
              <w:rPr>
                <w:sz w:val="24"/>
                <w:szCs w:val="24"/>
              </w:rPr>
            </w:pPr>
            <w:r>
              <w:rPr>
                <w:sz w:val="24"/>
                <w:szCs w:val="24"/>
              </w:rPr>
              <w:t>93</w:t>
            </w:r>
            <w:r w:rsidR="005D271D" w:rsidRPr="005D271D">
              <w:rPr>
                <w:sz w:val="24"/>
                <w:szCs w:val="24"/>
              </w:rPr>
              <w:t>,-</w:t>
            </w:r>
          </w:p>
        </w:tc>
        <w:tc>
          <w:tcPr>
            <w:tcW w:w="2266" w:type="dxa"/>
          </w:tcPr>
          <w:p w:rsidR="005D271D" w:rsidRPr="005D271D" w:rsidRDefault="005D271D" w:rsidP="005D271D">
            <w:pPr>
              <w:jc w:val="center"/>
              <w:rPr>
                <w:sz w:val="24"/>
                <w:szCs w:val="24"/>
              </w:rPr>
            </w:pPr>
            <w:r w:rsidRPr="005D271D">
              <w:rPr>
                <w:sz w:val="24"/>
                <w:szCs w:val="24"/>
              </w:rPr>
              <w:t>-</w:t>
            </w:r>
          </w:p>
        </w:tc>
        <w:tc>
          <w:tcPr>
            <w:tcW w:w="2266" w:type="dxa"/>
          </w:tcPr>
          <w:p w:rsidR="005D271D" w:rsidRPr="005D271D" w:rsidRDefault="001B1E6B" w:rsidP="005D271D">
            <w:pPr>
              <w:jc w:val="center"/>
              <w:rPr>
                <w:sz w:val="24"/>
                <w:szCs w:val="24"/>
              </w:rPr>
            </w:pPr>
            <w:r>
              <w:rPr>
                <w:sz w:val="24"/>
                <w:szCs w:val="24"/>
              </w:rPr>
              <w:t>1860</w:t>
            </w:r>
            <w:r w:rsidR="005D271D" w:rsidRPr="005D271D">
              <w:rPr>
                <w:sz w:val="24"/>
                <w:szCs w:val="24"/>
              </w:rPr>
              <w:t>,-</w:t>
            </w:r>
          </w:p>
        </w:tc>
      </w:tr>
    </w:tbl>
    <w:p w:rsidR="001B1E6B" w:rsidRDefault="001B1E6B" w:rsidP="00CC3EAB">
      <w:pPr>
        <w:spacing w:after="0"/>
      </w:pPr>
    </w:p>
    <w:p w:rsidR="00CC3EAB" w:rsidRDefault="00CC3EAB" w:rsidP="00CC3EAB">
      <w:pPr>
        <w:spacing w:after="0"/>
      </w:pPr>
      <w:r>
        <w:t>Na oběd za nižší cenu, která je uvedena v prvním sloupci tabulky, mají nárok všichni žáci, kteří jsou přítomni ve škole plus první den nepřítomnosti (nemoci atd.). Pokud je žák přítomen jen část výuky (i třeba jen první vyučovací hodinu), je to považováno za přítomnost ve škole a první den nepřítomnosti je až ten další.</w:t>
      </w:r>
    </w:p>
    <w:p w:rsidR="00CC3EAB" w:rsidRDefault="00CC3EAB" w:rsidP="00CC3EAB">
      <w:pPr>
        <w:spacing w:after="0"/>
      </w:pPr>
      <w:r>
        <w:t>V době nepřítomnosti je nutné obědy odhlašovat, a to nejpozději den předem do 13,00 hodin. Později oběd odhlásit nelze. Výjimkou je pondělí, kdy lze oběd odhlásit ještě ráno do 7,30 hodin.</w:t>
      </w:r>
    </w:p>
    <w:p w:rsidR="00CC3EAB" w:rsidRDefault="00CC3EAB" w:rsidP="00CC3EAB">
      <w:pPr>
        <w:spacing w:after="0"/>
      </w:pPr>
    </w:p>
    <w:p w:rsidR="00CC3EAB" w:rsidRDefault="00CC3EAB" w:rsidP="00CC3EAB">
      <w:pPr>
        <w:spacing w:after="0"/>
      </w:pPr>
      <w:r>
        <w:t xml:space="preserve">Pokud oběd na další den odhlásit nestihnete nebo žák onemocní během výuky a nemůže tedy jít na oběd do jídelny, je možné si oběd vyzvednout do jídlonosiče. </w:t>
      </w:r>
      <w:r w:rsidRPr="00783DA6">
        <w:rPr>
          <w:b/>
          <w:u w:val="single"/>
        </w:rPr>
        <w:t>Výdej do jídlonosičů probíhá každý den od 11,00 do 11,30 hodin a je z hygienických důvodů časově i prostorově oddělen od výdeje v jídelně.</w:t>
      </w:r>
      <w:r>
        <w:t xml:space="preserve"> Tuto dobu je nutné dodržet, jindy vám bohužel nemůže být oběd vydán.</w:t>
      </w:r>
    </w:p>
    <w:p w:rsidR="00CC3EAB" w:rsidRPr="001B1E6B" w:rsidRDefault="00CC3EAB" w:rsidP="00CC3EAB">
      <w:pPr>
        <w:spacing w:after="0"/>
        <w:rPr>
          <w:b/>
        </w:rPr>
      </w:pPr>
    </w:p>
    <w:p w:rsidR="00CC3EAB" w:rsidRDefault="00CC3EAB" w:rsidP="00CC3EAB">
      <w:pPr>
        <w:spacing w:after="0"/>
      </w:pPr>
      <w:r w:rsidRPr="00A256D4">
        <w:rPr>
          <w:b/>
          <w:u w:val="single"/>
        </w:rPr>
        <w:t>Neodhlášené obědy v době nepřítomnosti žáka ve škole (kromě prvního dne), jsou účtovány v plné ceně, včetně všech nákladů, a to bez ohledu na to, jestli byl oběd vyzvednut do jídlonosiče nebo „propadl“.</w:t>
      </w:r>
      <w:r w:rsidRPr="001B1E6B">
        <w:rPr>
          <w:b/>
        </w:rPr>
        <w:t xml:space="preserve"> </w:t>
      </w:r>
      <w:r>
        <w:t>Někteří rodiče rádi využívají možnosti vyzvedávat si oběd v době nemoci i za plnou cenu a toto je dále možné, jen je potřeba pohlídat, aby měl strávník dostatečnou částku kreditu. Pokud je kredit zcela vyčerpán, obědy se v systému automaticky odhlásí a strávník nebude až do další úhrady moci obědy odebírat.</w:t>
      </w:r>
    </w:p>
    <w:p w:rsidR="001B1E6B" w:rsidRDefault="001B1E6B" w:rsidP="00CC3EAB">
      <w:pPr>
        <w:spacing w:after="0"/>
      </w:pPr>
    </w:p>
    <w:p w:rsidR="00CC3EAB" w:rsidRDefault="00CC3EAB" w:rsidP="00CC3EAB">
      <w:pPr>
        <w:spacing w:after="0"/>
      </w:pPr>
      <w:r>
        <w:t>Platba stravn</w:t>
      </w:r>
      <w:r w:rsidR="008D0328">
        <w:t>ého by měla proběhnout vždy do 2</w:t>
      </w:r>
      <w:r>
        <w:t>0. v m</w:t>
      </w:r>
      <w:r w:rsidR="001B1E6B">
        <w:t xml:space="preserve">ěsíci na další měsíc (tzn. do </w:t>
      </w:r>
      <w:proofErr w:type="gramStart"/>
      <w:r w:rsidR="001B1E6B">
        <w:t>20.srpna</w:t>
      </w:r>
      <w:proofErr w:type="gramEnd"/>
      <w:r w:rsidR="001B1E6B">
        <w:t xml:space="preserve"> se hradí září, 20</w:t>
      </w:r>
      <w:r>
        <w:t>. září říjen atd.).</w:t>
      </w:r>
    </w:p>
    <w:p w:rsidR="00C9222F" w:rsidRDefault="00C9222F" w:rsidP="00CC3EAB">
      <w:pPr>
        <w:spacing w:after="0"/>
      </w:pPr>
    </w:p>
    <w:p w:rsidR="00C9222F" w:rsidRDefault="00C9222F" w:rsidP="00C9222F">
      <w:pPr>
        <w:rPr>
          <w:rStyle w:val="fc2"/>
        </w:rPr>
      </w:pPr>
      <w:r>
        <w:t xml:space="preserve">Chtěli bychom Vás informovat, že došlo ke změně účtu pro školní jídelnu </w:t>
      </w:r>
      <w:r w:rsidRPr="00A256D4">
        <w:rPr>
          <w:rStyle w:val="fc2"/>
          <w:b/>
        </w:rPr>
        <w:t>131 - 2997930267/ 0100</w:t>
      </w:r>
      <w:r>
        <w:rPr>
          <w:rStyle w:val="fc2"/>
        </w:rPr>
        <w:t xml:space="preserve"> </w:t>
      </w:r>
    </w:p>
    <w:p w:rsidR="00C9222F" w:rsidRDefault="00C9222F" w:rsidP="00C9222F">
      <w:pPr>
        <w:rPr>
          <w:rStyle w:val="fc2"/>
        </w:rPr>
      </w:pPr>
      <w:r>
        <w:rPr>
          <w:rStyle w:val="fc2"/>
        </w:rPr>
        <w:t>Variabilní symbol zůstává pro cizí strávníky stejný</w:t>
      </w:r>
    </w:p>
    <w:p w:rsidR="001B1E6B" w:rsidRDefault="00C9222F" w:rsidP="001B1E6B">
      <w:pPr>
        <w:spacing w:line="240" w:lineRule="auto"/>
        <w:rPr>
          <w:rStyle w:val="fc2"/>
        </w:rPr>
      </w:pPr>
      <w:r>
        <w:rPr>
          <w:rStyle w:val="fc2"/>
        </w:rPr>
        <w:t>Pro žáky veškeré podklady pro platby najdete nově v </w:t>
      </w:r>
      <w:proofErr w:type="spellStart"/>
      <w:r>
        <w:rPr>
          <w:rStyle w:val="fc2"/>
        </w:rPr>
        <w:t>edookitu</w:t>
      </w:r>
      <w:proofErr w:type="spellEnd"/>
      <w:r>
        <w:rPr>
          <w:rStyle w:val="fc2"/>
        </w:rPr>
        <w:t xml:space="preserve">. V případě trvalých příkazů uvádějte vždy správný variabilní symbol </w:t>
      </w:r>
      <w:r w:rsidR="001B1E6B">
        <w:rPr>
          <w:rStyle w:val="fc2"/>
        </w:rPr>
        <w:t xml:space="preserve"> a nově specifický symbol dle kategorií: </w:t>
      </w:r>
    </w:p>
    <w:p w:rsidR="001B1E6B" w:rsidRDefault="001B1E6B" w:rsidP="001B1E6B">
      <w:pPr>
        <w:pStyle w:val="Odstavecseseznamem"/>
        <w:numPr>
          <w:ilvl w:val="0"/>
          <w:numId w:val="2"/>
        </w:numPr>
        <w:spacing w:after="0"/>
        <w:rPr>
          <w:rStyle w:val="fc2"/>
        </w:rPr>
      </w:pPr>
      <w:r>
        <w:rPr>
          <w:rStyle w:val="fc2"/>
        </w:rPr>
        <w:t>7-10  SS 11107</w:t>
      </w:r>
    </w:p>
    <w:p w:rsidR="001B1E6B" w:rsidRDefault="001B1E6B" w:rsidP="001B1E6B">
      <w:pPr>
        <w:pStyle w:val="Odstavecseseznamem"/>
        <w:numPr>
          <w:ilvl w:val="0"/>
          <w:numId w:val="2"/>
        </w:numPr>
        <w:spacing w:after="0"/>
        <w:rPr>
          <w:rStyle w:val="fc2"/>
        </w:rPr>
      </w:pPr>
      <w:r>
        <w:rPr>
          <w:rStyle w:val="fc2"/>
        </w:rPr>
        <w:t>11-14 SS 11111</w:t>
      </w:r>
    </w:p>
    <w:p w:rsidR="001B1E6B" w:rsidRDefault="001B1E6B" w:rsidP="001B1E6B">
      <w:pPr>
        <w:pStyle w:val="Odstavecseseznamem"/>
        <w:numPr>
          <w:ilvl w:val="0"/>
          <w:numId w:val="2"/>
        </w:numPr>
        <w:spacing w:after="0"/>
        <w:rPr>
          <w:rStyle w:val="fc2"/>
        </w:rPr>
      </w:pPr>
      <w:r>
        <w:rPr>
          <w:rStyle w:val="fc2"/>
        </w:rPr>
        <w:t>15+  SS 11115</w:t>
      </w:r>
    </w:p>
    <w:p w:rsidR="00C9222F" w:rsidRPr="00712438" w:rsidRDefault="00C9222F" w:rsidP="00C9222F">
      <w:pPr>
        <w:rPr>
          <w:rStyle w:val="fc2"/>
          <w:b/>
        </w:rPr>
      </w:pPr>
      <w:r w:rsidRPr="00712438">
        <w:rPr>
          <w:rStyle w:val="fc2"/>
          <w:b/>
        </w:rPr>
        <w:t>Předpisy uvidíte v </w:t>
      </w:r>
      <w:proofErr w:type="spellStart"/>
      <w:r w:rsidRPr="00712438">
        <w:rPr>
          <w:rStyle w:val="fc2"/>
          <w:b/>
        </w:rPr>
        <w:t>edookitu</w:t>
      </w:r>
      <w:proofErr w:type="spellEnd"/>
      <w:r w:rsidRPr="00712438">
        <w:rPr>
          <w:rStyle w:val="fc2"/>
          <w:b/>
        </w:rPr>
        <w:t xml:space="preserve"> i v případě trvalých příkazů. </w:t>
      </w:r>
    </w:p>
    <w:p w:rsidR="00C9222F" w:rsidRDefault="00CC3EAB" w:rsidP="00CC3EAB">
      <w:pPr>
        <w:spacing w:after="0"/>
        <w:rPr>
          <w:rStyle w:val="Hypertextovodkaz"/>
        </w:rPr>
      </w:pPr>
      <w:r>
        <w:t>Veškeré informace ke stravování najdete ta</w:t>
      </w:r>
      <w:r w:rsidR="00C9222F">
        <w:t xml:space="preserve">ké na webových stránkách školy: </w:t>
      </w:r>
      <w:hyperlink r:id="rId5" w:history="1">
        <w:r w:rsidRPr="000A2572">
          <w:rPr>
            <w:rStyle w:val="Hypertextovodkaz"/>
          </w:rPr>
          <w:t>https://www.zsmodrice.org/jidelna</w:t>
        </w:r>
      </w:hyperlink>
    </w:p>
    <w:p w:rsidR="00C9222F" w:rsidRDefault="00C9222F" w:rsidP="00CC3EAB">
      <w:pPr>
        <w:spacing w:after="0"/>
      </w:pPr>
    </w:p>
    <w:p w:rsidR="00CC3EAB" w:rsidRDefault="00CE1671" w:rsidP="001B1E6B">
      <w:pPr>
        <w:spacing w:after="0"/>
      </w:pPr>
      <w:r>
        <w:t>Eva Goliášová</w:t>
      </w:r>
      <w:r w:rsidR="00CC3EAB">
        <w:t>, vedoucí školní jídelny</w:t>
      </w:r>
    </w:p>
    <w:sectPr w:rsidR="00CC3E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C45092"/>
    <w:multiLevelType w:val="hybridMultilevel"/>
    <w:tmpl w:val="61BCE0C0"/>
    <w:lvl w:ilvl="0" w:tplc="04050001">
      <w:start w:val="1"/>
      <w:numFmt w:val="bullet"/>
      <w:lvlText w:val=""/>
      <w:lvlJc w:val="left"/>
      <w:pPr>
        <w:ind w:left="825" w:hanging="360"/>
      </w:pPr>
      <w:rPr>
        <w:rFonts w:ascii="Symbol" w:hAnsi="Symbol" w:hint="default"/>
      </w:rPr>
    </w:lvl>
    <w:lvl w:ilvl="1" w:tplc="04050003" w:tentative="1">
      <w:start w:val="1"/>
      <w:numFmt w:val="bullet"/>
      <w:lvlText w:val="o"/>
      <w:lvlJc w:val="left"/>
      <w:pPr>
        <w:ind w:left="1545" w:hanging="360"/>
      </w:pPr>
      <w:rPr>
        <w:rFonts w:ascii="Courier New" w:hAnsi="Courier New" w:cs="Courier New" w:hint="default"/>
      </w:rPr>
    </w:lvl>
    <w:lvl w:ilvl="2" w:tplc="04050005" w:tentative="1">
      <w:start w:val="1"/>
      <w:numFmt w:val="bullet"/>
      <w:lvlText w:val=""/>
      <w:lvlJc w:val="left"/>
      <w:pPr>
        <w:ind w:left="2265" w:hanging="360"/>
      </w:pPr>
      <w:rPr>
        <w:rFonts w:ascii="Wingdings" w:hAnsi="Wingdings" w:hint="default"/>
      </w:rPr>
    </w:lvl>
    <w:lvl w:ilvl="3" w:tplc="04050001" w:tentative="1">
      <w:start w:val="1"/>
      <w:numFmt w:val="bullet"/>
      <w:lvlText w:val=""/>
      <w:lvlJc w:val="left"/>
      <w:pPr>
        <w:ind w:left="2985" w:hanging="360"/>
      </w:pPr>
      <w:rPr>
        <w:rFonts w:ascii="Symbol" w:hAnsi="Symbol" w:hint="default"/>
      </w:rPr>
    </w:lvl>
    <w:lvl w:ilvl="4" w:tplc="04050003" w:tentative="1">
      <w:start w:val="1"/>
      <w:numFmt w:val="bullet"/>
      <w:lvlText w:val="o"/>
      <w:lvlJc w:val="left"/>
      <w:pPr>
        <w:ind w:left="3705" w:hanging="360"/>
      </w:pPr>
      <w:rPr>
        <w:rFonts w:ascii="Courier New" w:hAnsi="Courier New" w:cs="Courier New" w:hint="default"/>
      </w:rPr>
    </w:lvl>
    <w:lvl w:ilvl="5" w:tplc="04050005" w:tentative="1">
      <w:start w:val="1"/>
      <w:numFmt w:val="bullet"/>
      <w:lvlText w:val=""/>
      <w:lvlJc w:val="left"/>
      <w:pPr>
        <w:ind w:left="4425" w:hanging="360"/>
      </w:pPr>
      <w:rPr>
        <w:rFonts w:ascii="Wingdings" w:hAnsi="Wingdings" w:hint="default"/>
      </w:rPr>
    </w:lvl>
    <w:lvl w:ilvl="6" w:tplc="04050001" w:tentative="1">
      <w:start w:val="1"/>
      <w:numFmt w:val="bullet"/>
      <w:lvlText w:val=""/>
      <w:lvlJc w:val="left"/>
      <w:pPr>
        <w:ind w:left="5145" w:hanging="360"/>
      </w:pPr>
      <w:rPr>
        <w:rFonts w:ascii="Symbol" w:hAnsi="Symbol" w:hint="default"/>
      </w:rPr>
    </w:lvl>
    <w:lvl w:ilvl="7" w:tplc="04050003" w:tentative="1">
      <w:start w:val="1"/>
      <w:numFmt w:val="bullet"/>
      <w:lvlText w:val="o"/>
      <w:lvlJc w:val="left"/>
      <w:pPr>
        <w:ind w:left="5865" w:hanging="360"/>
      </w:pPr>
      <w:rPr>
        <w:rFonts w:ascii="Courier New" w:hAnsi="Courier New" w:cs="Courier New" w:hint="default"/>
      </w:rPr>
    </w:lvl>
    <w:lvl w:ilvl="8" w:tplc="04050005" w:tentative="1">
      <w:start w:val="1"/>
      <w:numFmt w:val="bullet"/>
      <w:lvlText w:val=""/>
      <w:lvlJc w:val="left"/>
      <w:pPr>
        <w:ind w:left="6585" w:hanging="360"/>
      </w:pPr>
      <w:rPr>
        <w:rFonts w:ascii="Wingdings" w:hAnsi="Wingdings" w:hint="default"/>
      </w:rPr>
    </w:lvl>
  </w:abstractNum>
  <w:abstractNum w:abstractNumId="1" w15:restartNumberingAfterBreak="0">
    <w:nsid w:val="6A58097E"/>
    <w:multiLevelType w:val="hybridMultilevel"/>
    <w:tmpl w:val="A60A70A6"/>
    <w:lvl w:ilvl="0" w:tplc="EA185A24">
      <w:start w:val="1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71D"/>
    <w:rsid w:val="000E358C"/>
    <w:rsid w:val="001B1E6B"/>
    <w:rsid w:val="005C22B8"/>
    <w:rsid w:val="005D271D"/>
    <w:rsid w:val="00673533"/>
    <w:rsid w:val="00723447"/>
    <w:rsid w:val="00794B9B"/>
    <w:rsid w:val="008D0328"/>
    <w:rsid w:val="00A256D4"/>
    <w:rsid w:val="00C9222F"/>
    <w:rsid w:val="00CC3EAB"/>
    <w:rsid w:val="00CE1671"/>
    <w:rsid w:val="00DB1B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53A4"/>
  <w15:chartTrackingRefBased/>
  <w15:docId w15:val="{A76DEB99-21E8-4B11-84EC-B059DD63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5D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D271D"/>
    <w:pPr>
      <w:ind w:left="720"/>
      <w:contextualSpacing/>
    </w:pPr>
  </w:style>
  <w:style w:type="paragraph" w:styleId="Textbubliny">
    <w:name w:val="Balloon Text"/>
    <w:basedOn w:val="Normln"/>
    <w:link w:val="TextbublinyChar"/>
    <w:uiPriority w:val="99"/>
    <w:semiHidden/>
    <w:unhideWhenUsed/>
    <w:rsid w:val="005C22B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22B8"/>
    <w:rPr>
      <w:rFonts w:ascii="Segoe UI" w:hAnsi="Segoe UI" w:cs="Segoe UI"/>
      <w:sz w:val="18"/>
      <w:szCs w:val="18"/>
    </w:rPr>
  </w:style>
  <w:style w:type="character" w:styleId="Hypertextovodkaz">
    <w:name w:val="Hyperlink"/>
    <w:basedOn w:val="Standardnpsmoodstavce"/>
    <w:uiPriority w:val="99"/>
    <w:unhideWhenUsed/>
    <w:rsid w:val="00CC3EAB"/>
    <w:rPr>
      <w:color w:val="0563C1" w:themeColor="hyperlink"/>
      <w:u w:val="single"/>
    </w:rPr>
  </w:style>
  <w:style w:type="character" w:customStyle="1" w:styleId="fc2">
    <w:name w:val="fc2"/>
    <w:basedOn w:val="Standardnpsmoodstavce"/>
    <w:rsid w:val="00C92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smodrice.org/jidelna"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350</Words>
  <Characters>2071</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Ondrášková</dc:creator>
  <cp:keywords/>
  <dc:description/>
  <cp:lastModifiedBy>Markéta Ondrášková</cp:lastModifiedBy>
  <cp:revision>14</cp:revision>
  <cp:lastPrinted>2025-04-24T07:18:00Z</cp:lastPrinted>
  <dcterms:created xsi:type="dcterms:W3CDTF">2022-05-26T07:32:00Z</dcterms:created>
  <dcterms:modified xsi:type="dcterms:W3CDTF">2025-04-24T07:18:00Z</dcterms:modified>
</cp:coreProperties>
</file>